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教育硕士专业学位授权点建设年度报告</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（2021）</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一、总体概况</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b/>
          <w:bCs/>
          <w:sz w:val="28"/>
          <w:szCs w:val="28"/>
          <w:lang w:val="en-US" w:eastAsia="zh-CN"/>
        </w:rPr>
        <w:t>（一）学位授权点基本情况</w:t>
      </w:r>
    </w:p>
    <w:p>
      <w:pPr>
        <w:jc w:val="left"/>
        <w:rPr>
          <w:rFonts w:hint="eastAsia" w:ascii="仿宋" w:hAnsi="仿宋" w:eastAsia="仿宋" w:cs="仿宋"/>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sz w:val="28"/>
          <w:szCs w:val="28"/>
          <w:lang w:val="en-US" w:eastAsia="zh-CN"/>
        </w:rPr>
        <w:t>山西大学教育硕士专业学位授予点自从2005年获批之后，经过十几年的发展，现有教育硕士专业学位有教育管理、小学教育、心理健康教育、学前教育、职业技术教育五个方向。在培养标准、基本条件建设、人才培养及保障体系方面有效开展各项工作。</w:t>
      </w:r>
    </w:p>
    <w:p>
      <w:pPr>
        <w:ind w:firstLine="562" w:firstLineChars="200"/>
        <w:jc w:val="left"/>
        <w:rPr>
          <w:rFonts w:hint="default" w:ascii="黑体" w:hAnsi="黑体" w:eastAsia="黑体" w:cs="黑体"/>
          <w:sz w:val="28"/>
          <w:szCs w:val="28"/>
          <w:lang w:val="en-US" w:eastAsia="zh-CN"/>
        </w:rPr>
      </w:pPr>
      <w:r>
        <w:rPr>
          <w:rFonts w:hint="eastAsia" w:ascii="仿宋" w:hAnsi="仿宋" w:eastAsia="仿宋" w:cs="仿宋"/>
          <w:b/>
          <w:bCs/>
          <w:sz w:val="28"/>
          <w:szCs w:val="28"/>
          <w:lang w:val="en-US" w:eastAsia="zh-CN"/>
        </w:rPr>
        <w:t>（二）培养目标与培养方向简介</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校的教育硕士培养目标，以教育部规定培养目标为基准，结合所在区域的地方性特点，努力突出山西在转型跨越发展过程中，对基础教育领域师资的要求，制定培养目标。教育硕士是培养掌握现代教育知识和现代教育管理理论，能够融合教育学和心理学相关知识。熟悉幼儿园教师、学前教育、小学教育、职业技术教育领域的理论与具体实践，能够具有较强的教育教学实践和研究能力的高素质的基础教育学校、中等职业技术学校的教育教学管理人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自从获得教育硕士学位授权点以来，经过我院的努力办学，逐步形成了教育管理、小学教育、心理健康教育、学前教育、职业技术教育五个专业硕士培养方向。</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教育管理方向：本专业方向培养掌握现代教育知识和现代教育管理理论，具有较强的教育教学实践和研究能力的高素质的基础教育学校和中等职业技术学校的教育教学管理人员。</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小学教育方向：本专业培养具有良好的职业道德，较高的理论素养，较强的教育教学能力、实践研究能力及专业发展能力的优秀的小学教师。</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心理健康教育方向：培养掌握现代教育理念、能够融合教育学和心理学相关知识、具有较强实践与创新能力的、高水平的基础教育学校和中等职业技术学校心理健康教育专任教师与管理人员。</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学前教育方向：培养掌握现代教育理论、具有较强教育教学实践和研究能力的高素质的幼儿园教师和学前教育教学管理人员。</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职业技术教育方向：培养掌握现代职业教育理论、具有较强的职业教育教学实践和研究能力,能够胜任与本专业相关的高层次实用型、复合型职教师资人才。</w:t>
      </w:r>
    </w:p>
    <w:p>
      <w:pPr>
        <w:ind w:firstLine="562" w:firstLineChars="200"/>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（三）研究生规模</w:t>
      </w:r>
    </w:p>
    <w:p>
      <w:pPr>
        <w:jc w:val="left"/>
        <w:rPr>
          <w:rFonts w:hint="default" w:ascii="仿宋" w:hAnsi="仿宋" w:eastAsia="仿宋" w:cs="仿宋"/>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sz w:val="28"/>
          <w:szCs w:val="28"/>
          <w:lang w:val="en-US" w:eastAsia="zh-CN"/>
        </w:rPr>
        <w:t>2021年各类教育硕士招生186人，授予学位人数119人，其中全日制招生人数87人，非全日制招生99人，全日制授予学位人数36人，非全日制授予学位人数83人。</w:t>
      </w:r>
    </w:p>
    <w:p>
      <w:pPr>
        <w:ind w:firstLine="562" w:firstLineChars="200"/>
        <w:jc w:val="left"/>
        <w:rPr>
          <w:rFonts w:hint="default" w:ascii="黑体" w:hAnsi="黑体" w:eastAsia="黑体" w:cs="黑体"/>
          <w:sz w:val="28"/>
          <w:szCs w:val="28"/>
          <w:lang w:val="en-US" w:eastAsia="zh-CN"/>
        </w:rPr>
      </w:pPr>
      <w:r>
        <w:rPr>
          <w:rFonts w:hint="eastAsia" w:ascii="仿宋" w:hAnsi="仿宋" w:eastAsia="仿宋" w:cs="仿宋"/>
          <w:b/>
          <w:bCs/>
          <w:sz w:val="28"/>
          <w:szCs w:val="28"/>
          <w:lang w:val="en-US" w:eastAsia="zh-CN"/>
        </w:rPr>
        <w:t>（四）研究生导师状况</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sz w:val="28"/>
          <w:szCs w:val="28"/>
          <w:lang w:val="en-US" w:eastAsia="zh-CN"/>
        </w:rPr>
        <w:t>学位点师资队伍结构不断优化，现有专任教师58人，其中教授16人、副教授28人，博士化率达67%，其中有11人有行业经验。专业硕士培养实行“双师型”，从学校教育、企业中聘请了一批优秀的行业专家为行业导师，数量有29人，其中，正高级11人，副高级19人。</w:t>
      </w:r>
    </w:p>
    <w:p>
      <w:pPr>
        <w:numPr>
          <w:ilvl w:val="0"/>
          <w:numId w:val="0"/>
        </w:numPr>
        <w:ind w:firstLine="560" w:firstLineChars="200"/>
        <w:jc w:val="both"/>
        <w:rPr>
          <w:rFonts w:hint="eastAsia"/>
          <w:lang w:val="en-US" w:eastAsia="zh-CN"/>
        </w:rPr>
      </w:pPr>
      <w:r>
        <w:rPr>
          <w:rFonts w:hint="eastAsia" w:ascii="黑体" w:hAnsi="黑体" w:eastAsia="黑体" w:cs="黑体"/>
          <w:sz w:val="28"/>
          <w:szCs w:val="28"/>
          <w:lang w:val="en-US" w:eastAsia="zh-CN"/>
        </w:rPr>
        <w:t>二、研究生党建和思想政治教育工作</w:t>
      </w:r>
    </w:p>
    <w:p>
      <w:pPr>
        <w:widowControl w:val="0"/>
        <w:numPr>
          <w:ilvl w:val="0"/>
          <w:numId w:val="0"/>
        </w:numPr>
        <w:ind w:firstLine="562" w:firstLineChars="200"/>
        <w:jc w:val="both"/>
        <w:rPr>
          <w:rFonts w:hint="default"/>
          <w:lang w:val="en-US" w:eastAsia="zh-CN"/>
        </w:rPr>
      </w:pPr>
      <w:r>
        <w:rPr>
          <w:rFonts w:hint="eastAsia" w:ascii="仿宋" w:hAnsi="仿宋" w:eastAsia="仿宋" w:cs="仿宋"/>
          <w:b/>
          <w:bCs/>
          <w:sz w:val="28"/>
          <w:szCs w:val="28"/>
          <w:lang w:val="en-US" w:eastAsia="zh-CN"/>
        </w:rPr>
        <w:t>（一）思想政治教育队伍建设情况</w:t>
      </w:r>
    </w:p>
    <w:p>
      <w:pPr>
        <w:spacing w:line="360" w:lineRule="auto"/>
        <w:ind w:firstLine="480" w:firstLineChars="200"/>
        <w:rPr>
          <w:rFonts w:hint="eastAsia" w:ascii="仿宋" w:hAnsi="仿宋" w:eastAsia="仿宋" w:cs="仿宋"/>
          <w:sz w:val="28"/>
          <w:szCs w:val="28"/>
        </w:rPr>
      </w:pPr>
      <w:r>
        <w:rPr>
          <w:rFonts w:hint="eastAsia"/>
          <w:lang w:val="en-US" w:eastAsia="zh-CN"/>
        </w:rPr>
        <w:t xml:space="preserve"> </w:t>
      </w:r>
      <w:r>
        <w:rPr>
          <w:rFonts w:ascii="仿宋" w:hAnsi="仿宋" w:eastAsia="仿宋" w:cs="仿宋"/>
          <w:sz w:val="28"/>
          <w:szCs w:val="28"/>
        </w:rPr>
        <w:t>以全员育人理念为依据，建立学科教师兼任辅导员工作机制</w:t>
      </w:r>
      <w:r>
        <w:rPr>
          <w:rFonts w:hint="eastAsia" w:ascii="仿宋" w:hAnsi="仿宋" w:eastAsia="仿宋" w:cs="仿宋"/>
          <w:sz w:val="28"/>
          <w:szCs w:val="28"/>
        </w:rPr>
        <w:t>。</w:t>
      </w:r>
      <w:r>
        <w:rPr>
          <w:rFonts w:ascii="仿宋" w:hAnsi="仿宋" w:eastAsia="仿宋" w:cs="仿宋"/>
          <w:sz w:val="28"/>
          <w:szCs w:val="28"/>
        </w:rPr>
        <w:t>学院选拔政治素质高、业务能力强的学科教师 担任兼职辅导员，组建了专职辅导员为主、兼职辅导员为辅、班主任和导师相结合的思政工作队伍。建立工作目标考核和工作激励机制，鼓励辅导员开展思政工作科学研究，提升辅导员政治素质和业务能力。</w:t>
      </w:r>
    </w:p>
    <w:p>
      <w:pPr>
        <w:widowControl w:val="0"/>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（二）思政课程建设与课程思政落实情况</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思政课程实行专门开设课程与课程渗透为基本方式。通过研究生教育教学全过程提升研究生思想道德水平。创新思政教育形式，通过课堂讲授、活动学习、案例教学、项目学习等形式，建构“党建+思政”“党建+学科”“党建+互联网”的协同创新机制，以党建引领促进思政教育和学科发展。通过一系列举措拓展思政教育教学渠道。</w:t>
      </w:r>
    </w:p>
    <w:p>
      <w:pPr>
        <w:widowControl w:val="0"/>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（三）研究生党建与校园文化建设情况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院研究生党建工作着力于“培养—发展—教育—服务—管理”五级工作模式的建构。所谓培养就是着重于入党积极分子的选拔与培养，所谓发展就是着重于发展对象的进一步考核与提高，所谓教育就是着重于党员党性的提升，所谓服务就是着重于党员践行全心全意为人民服务的宗旨，所谓管理就是着重于党员的日常性管理。我院研究生党支部、研究生党员多次获得校级“先进党支部”和“优秀共产党员”称号。</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校园文化建设着重在于学术文化建设和社会实践志愿服务建设。学术文化建设主要是每一年由研究生会承办的“研究生学术论坛”和“学术五分钟”，主要参加人员就是学院的在读研究生和导师。志愿服务建设主要是形成了从“班级——学院——学校”三级志愿服务体系，针对重大活动开展服务他人的志愿服务活动。我院研究生在疫情期间组织参加山西省心理援助志愿服务活动，每年都参加学校研工部组织的暑期社会实践活动，以及校团委组织的山西省“二青会”志愿活动、太原市马拉松志愿活动等。</w:t>
      </w:r>
    </w:p>
    <w:p>
      <w:pPr>
        <w:widowControl w:val="0"/>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（四）日常管理服务情况</w:t>
      </w:r>
    </w:p>
    <w:p>
      <w:pPr>
        <w:ind w:firstLine="560" w:firstLineChars="200"/>
        <w:jc w:val="left"/>
        <w:rPr>
          <w:rFonts w:hint="eastAsia" w:eastAsia="仿宋"/>
          <w:sz w:val="28"/>
          <w:szCs w:val="28"/>
          <w:lang w:val="en-US" w:eastAsia="zh-CN"/>
        </w:rPr>
      </w:pPr>
      <w:r>
        <w:rPr>
          <w:rFonts w:hint="eastAsia" w:eastAsia="仿宋"/>
          <w:sz w:val="28"/>
          <w:szCs w:val="28"/>
          <w:lang w:val="en-US" w:eastAsia="zh-CN"/>
        </w:rPr>
        <w:t>以</w:t>
      </w:r>
      <w:r>
        <w:rPr>
          <w:rFonts w:hint="eastAsia" w:eastAsia="仿宋"/>
          <w:sz w:val="28"/>
          <w:szCs w:val="28"/>
          <w:lang w:val="en-US" w:eastAsia="zh-CN"/>
        </w:rPr>
        <w:t>促进学生的学习、生活、成长为原则，做好研究生日常管理与服务工作。通过辅导员和导师，掌握研究生日常学习生活动态，坚持班会制度、研究生</w:t>
      </w:r>
      <w:r>
        <w:rPr>
          <w:rFonts w:hint="eastAsia" w:eastAsia="仿宋"/>
          <w:sz w:val="28"/>
          <w:szCs w:val="28"/>
          <w:lang w:val="en-US" w:eastAsia="zh-CN"/>
        </w:rPr>
        <w:t>读书会、组会，</w:t>
      </w:r>
      <w:r>
        <w:rPr>
          <w:rFonts w:hint="eastAsia" w:eastAsia="仿宋"/>
          <w:sz w:val="28"/>
          <w:szCs w:val="28"/>
          <w:lang w:val="en-US" w:eastAsia="zh-CN"/>
        </w:rPr>
        <w:t>与学生谈心、交流，通过任务、汇报、交流等方式，做到围绕学生、关照学生、服务学生。</w:t>
      </w:r>
    </w:p>
    <w:p>
      <w:pPr>
        <w:numPr>
          <w:ilvl w:val="0"/>
          <w:numId w:val="0"/>
        </w:numPr>
        <w:ind w:firstLine="560" w:firstLineChars="20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三、研究生培养相关制度及执行情况</w:t>
      </w:r>
    </w:p>
    <w:p>
      <w:pPr>
        <w:numPr>
          <w:ilvl w:val="0"/>
          <w:numId w:val="0"/>
        </w:numPr>
        <w:ind w:firstLine="562" w:firstLineChars="200"/>
        <w:jc w:val="both"/>
        <w:rPr>
          <w:rFonts w:hint="default" w:ascii="黑体" w:hAnsi="黑体" w:eastAsia="黑体" w:cs="黑体"/>
          <w:sz w:val="28"/>
          <w:szCs w:val="28"/>
          <w:lang w:val="en-US" w:eastAsia="zh-CN"/>
        </w:rPr>
      </w:pPr>
      <w:r>
        <w:rPr>
          <w:rFonts w:hint="eastAsia" w:ascii="仿宋" w:hAnsi="仿宋" w:eastAsia="仿宋" w:cs="仿宋"/>
          <w:b/>
          <w:bCs/>
          <w:sz w:val="28"/>
          <w:szCs w:val="28"/>
          <w:lang w:val="en-US" w:eastAsia="zh-CN"/>
        </w:rPr>
        <w:t>（一）课程建设与实施情况</w:t>
      </w:r>
    </w:p>
    <w:p>
      <w:pPr>
        <w:jc w:val="left"/>
        <w:rPr>
          <w:rFonts w:hint="default" w:eastAsia="仿宋"/>
          <w:sz w:val="28"/>
          <w:szCs w:val="28"/>
          <w:lang w:val="en-US" w:eastAsia="zh-CN"/>
        </w:rPr>
      </w:pPr>
      <w:r>
        <w:rPr>
          <w:rFonts w:hint="eastAsia" w:ascii="黑体" w:hAnsi="黑体" w:eastAsia="黑体" w:cs="黑体"/>
          <w:sz w:val="28"/>
          <w:szCs w:val="28"/>
          <w:lang w:val="en-US" w:eastAsia="zh-CN"/>
        </w:rPr>
        <w:t xml:space="preserve">   </w:t>
      </w:r>
      <w:r>
        <w:rPr>
          <w:rFonts w:hint="eastAsia" w:eastAsia="仿宋"/>
          <w:sz w:val="28"/>
          <w:szCs w:val="28"/>
          <w:lang w:val="en-US" w:eastAsia="zh-CN"/>
        </w:rPr>
        <w:t xml:space="preserve"> 规范“核心课程”，突出思维方法和创新能力养成，以国务院学位办学科评议组编写的</w:t>
      </w:r>
      <w:r>
        <w:rPr>
          <w:rFonts w:hint="eastAsia" w:ascii="仿宋" w:hAnsi="仿宋" w:eastAsia="仿宋" w:cs="仿宋"/>
          <w:sz w:val="28"/>
          <w:szCs w:val="28"/>
          <w:lang w:val="en-US" w:eastAsia="zh-CN"/>
        </w:rPr>
        <w:t>《专业学位研究核心课程设置指南（试行）》（2020）为依据设置相关课程，完善基础理论课程和专业课程设置，考虑前沿性和实践性，突出研究生能力的培养。课程实施中，突出课程实施的规范性（大纲、教案），鼓励课程实施方式的创新性，用讲授法、案例分析法、项目学习法、小组合作学习法等多样综合方式进行课程实施，受到学生欢迎，课程实施效果良好，学生满意度高。</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（二）导师选拔培训</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r>
        <w:rPr>
          <w:rFonts w:eastAsia="仿宋"/>
          <w:bCs/>
          <w:kern w:val="0"/>
          <w:sz w:val="28"/>
          <w:szCs w:val="28"/>
        </w:rPr>
        <w:t>根据《山西大学研究生指导教师管理条例》、《山西大学关于博士、硕士学位申请者科研成果要求的规定》和山西大学《关于全面落实研究生导师立德树人职责的实施细则》，</w:t>
      </w:r>
      <w:r>
        <w:rPr>
          <w:rFonts w:hint="eastAsia" w:eastAsia="仿宋"/>
          <w:bCs/>
          <w:kern w:val="0"/>
          <w:sz w:val="28"/>
          <w:szCs w:val="28"/>
          <w:lang w:val="en-US" w:eastAsia="zh-CN"/>
        </w:rPr>
        <w:t>由</w:t>
      </w:r>
      <w:r>
        <w:rPr>
          <w:rFonts w:eastAsia="仿宋"/>
          <w:bCs/>
          <w:kern w:val="0"/>
          <w:sz w:val="28"/>
          <w:szCs w:val="28"/>
        </w:rPr>
        <w:t>学位评定分委会组织</w:t>
      </w:r>
      <w:r>
        <w:rPr>
          <w:rStyle w:val="8"/>
          <w:rFonts w:eastAsia="仿宋"/>
          <w:b w:val="0"/>
          <w:bCs w:val="0"/>
          <w:color w:val="000000"/>
          <w:sz w:val="28"/>
          <w:szCs w:val="28"/>
        </w:rPr>
        <w:t>遴选</w:t>
      </w:r>
      <w:r>
        <w:rPr>
          <w:rFonts w:eastAsia="仿宋"/>
          <w:bCs/>
          <w:kern w:val="0"/>
          <w:sz w:val="28"/>
          <w:szCs w:val="28"/>
        </w:rPr>
        <w:t>本学科</w:t>
      </w:r>
      <w:r>
        <w:rPr>
          <w:rStyle w:val="8"/>
          <w:rFonts w:eastAsia="仿宋"/>
          <w:b w:val="0"/>
          <w:bCs w:val="0"/>
          <w:color w:val="000000"/>
          <w:sz w:val="28"/>
          <w:szCs w:val="28"/>
        </w:rPr>
        <w:t>的</w:t>
      </w:r>
      <w:r>
        <w:rPr>
          <w:rFonts w:eastAsia="仿宋"/>
          <w:bCs/>
          <w:kern w:val="0"/>
          <w:sz w:val="28"/>
          <w:szCs w:val="28"/>
        </w:rPr>
        <w:t>硕士生导师</w:t>
      </w:r>
      <w:r>
        <w:rPr>
          <w:rFonts w:hint="eastAsia" w:eastAsia="仿宋"/>
          <w:bCs/>
          <w:kern w:val="0"/>
          <w:sz w:val="28"/>
          <w:szCs w:val="28"/>
          <w:lang w:eastAsia="zh-CN"/>
        </w:rPr>
        <w:t>、</w:t>
      </w:r>
      <w:r>
        <w:rPr>
          <w:rFonts w:hint="eastAsia" w:eastAsia="仿宋"/>
          <w:bCs/>
          <w:kern w:val="0"/>
          <w:sz w:val="28"/>
          <w:szCs w:val="28"/>
          <w:lang w:val="en-US" w:eastAsia="zh-CN"/>
        </w:rPr>
        <w:t>行业导师，并依托学校</w:t>
      </w:r>
      <w:r>
        <w:rPr>
          <w:rStyle w:val="8"/>
          <w:rFonts w:eastAsia="仿宋"/>
          <w:b w:val="0"/>
          <w:bCs w:val="0"/>
          <w:color w:val="000000"/>
          <w:sz w:val="28"/>
          <w:szCs w:val="28"/>
        </w:rPr>
        <w:t>组织专门</w:t>
      </w:r>
      <w:r>
        <w:rPr>
          <w:rStyle w:val="8"/>
          <w:rFonts w:hint="eastAsia" w:eastAsia="仿宋"/>
          <w:b w:val="0"/>
          <w:bCs w:val="0"/>
          <w:color w:val="000000"/>
          <w:sz w:val="28"/>
          <w:szCs w:val="28"/>
          <w:lang w:val="en-US" w:eastAsia="zh-CN"/>
        </w:rPr>
        <w:t>新导师的</w:t>
      </w:r>
      <w:r>
        <w:rPr>
          <w:rStyle w:val="8"/>
          <w:rFonts w:eastAsia="仿宋"/>
          <w:b w:val="0"/>
          <w:bCs w:val="0"/>
          <w:color w:val="000000"/>
          <w:sz w:val="28"/>
          <w:szCs w:val="28"/>
        </w:rPr>
        <w:t>培训，由学科和科研团队资深导师帮扶，</w:t>
      </w:r>
      <w:r>
        <w:rPr>
          <w:rStyle w:val="8"/>
          <w:rFonts w:hint="eastAsia" w:eastAsia="仿宋"/>
          <w:b w:val="0"/>
          <w:bCs w:val="0"/>
          <w:color w:val="000000"/>
          <w:sz w:val="28"/>
          <w:szCs w:val="28"/>
          <w:lang w:val="en-US" w:eastAsia="zh-CN"/>
        </w:rPr>
        <w:t>通过开题、答辩来</w:t>
      </w:r>
      <w:r>
        <w:rPr>
          <w:rStyle w:val="8"/>
          <w:rFonts w:eastAsia="仿宋"/>
          <w:b w:val="0"/>
          <w:bCs w:val="0"/>
          <w:color w:val="000000"/>
          <w:sz w:val="28"/>
          <w:szCs w:val="28"/>
        </w:rPr>
        <w:t>协调完成研究生的培养。</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（三）师德师风建设情况</w:t>
      </w:r>
    </w:p>
    <w:p>
      <w:pPr>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r>
        <w:rPr>
          <w:rFonts w:hint="eastAsia" w:eastAsia="仿宋"/>
          <w:sz w:val="28"/>
          <w:szCs w:val="28"/>
          <w:lang w:val="en-US" w:eastAsia="zh-CN"/>
        </w:rPr>
        <w:t>学位点党委在上级党组织的领导下，把师德专题教育纳入党建发展的总任务，把师德教育融入到教学、科研、师资队伍建设等各项工作中，引导广大教师更好地以德立身、以德立学、以德施教，提高了立德树人的崇高意识和责任意识。</w:t>
      </w:r>
      <w:r>
        <w:rPr>
          <w:rFonts w:hint="eastAsia" w:ascii="黑体" w:hAnsi="黑体" w:eastAsia="黑体" w:cs="黑体"/>
          <w:sz w:val="28"/>
          <w:szCs w:val="28"/>
          <w:lang w:val="en-US" w:eastAsia="zh-CN"/>
        </w:rPr>
        <w:t xml:space="preserve">    </w:t>
      </w:r>
    </w:p>
    <w:p>
      <w:pPr>
        <w:ind w:firstLine="280" w:firstLineChars="100"/>
        <w:jc w:val="left"/>
        <w:rPr>
          <w:rFonts w:hint="default" w:ascii="仿宋" w:hAnsi="仿宋" w:eastAsia="仿宋" w:cs="仿宋"/>
          <w:b/>
          <w:bCs/>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b/>
          <w:bCs/>
          <w:sz w:val="28"/>
          <w:szCs w:val="28"/>
          <w:lang w:val="en-US" w:eastAsia="zh-CN"/>
        </w:rPr>
        <w:t>（四）学术训练（专业实践）情况</w:t>
      </w:r>
    </w:p>
    <w:p>
      <w:pPr>
        <w:jc w:val="left"/>
        <w:rPr>
          <w:rFonts w:hint="default" w:eastAsia="仿宋"/>
          <w:sz w:val="28"/>
          <w:szCs w:val="28"/>
          <w:lang w:val="en-US" w:eastAsia="zh-CN"/>
        </w:rPr>
      </w:pPr>
      <w:r>
        <w:rPr>
          <w:rFonts w:hint="eastAsia" w:ascii="黑体" w:hAnsi="黑体" w:eastAsia="黑体" w:cs="黑体"/>
          <w:sz w:val="28"/>
          <w:szCs w:val="28"/>
          <w:lang w:val="en-US" w:eastAsia="zh-CN"/>
        </w:rPr>
        <w:t xml:space="preserve">    </w:t>
      </w:r>
      <w:r>
        <w:rPr>
          <w:rFonts w:hint="eastAsia" w:eastAsia="仿宋"/>
          <w:sz w:val="28"/>
          <w:szCs w:val="28"/>
          <w:lang w:val="en-US" w:eastAsia="zh-CN"/>
        </w:rPr>
        <w:t>各专业方向的专业实践以训、见、实、研连贯为原则，突出教育实习活动；以提升教育硕士培养内涵为目标，发挥校外导师特长；充分利用各种性质资源，丰富实践教学类型。基于实践训练，使学生获得了相关专业技能上的提升。</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（五）学术交流情况</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通过线上，积极参加学术会议，观摩学术报告，比如通过“研直播”“国家中小学网络云平台”，聆听名师名课，听过网络与专家对话。</w:t>
      </w:r>
    </w:p>
    <w:p>
      <w:pPr>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w:t>
      </w:r>
      <w:r>
        <w:rPr>
          <w:rFonts w:hint="eastAsia" w:ascii="仿宋" w:hAnsi="仿宋" w:eastAsia="仿宋" w:cs="仿宋"/>
          <w:b/>
          <w:bCs/>
          <w:sz w:val="28"/>
          <w:szCs w:val="28"/>
          <w:lang w:val="en-US" w:eastAsia="zh-CN"/>
        </w:rPr>
        <w:t>（六）研究生奖助情况</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制定和完善奖助制度，进行公开、公平、公正的开展评奖。2021年，研究生各类奖学金，平均覆盖比例42.8%，各类助学金平均覆盖比达100%。</w:t>
      </w:r>
    </w:p>
    <w:p>
      <w:pPr>
        <w:numPr>
          <w:numId w:val="0"/>
        </w:numPr>
        <w:spacing w:line="360" w:lineRule="auto"/>
        <w:ind w:right="480" w:rightChars="200" w:firstLine="560" w:firstLineChars="200"/>
        <w:rPr>
          <w:rStyle w:val="8"/>
          <w:rFonts w:hint="eastAsia" w:ascii="仿宋" w:hAnsi="仿宋" w:eastAsia="仿宋"/>
          <w:b w:val="0"/>
          <w:bCs w:val="0"/>
          <w:color w:val="000000"/>
          <w:kern w:val="0"/>
          <w:sz w:val="28"/>
          <w:szCs w:val="28"/>
          <w:lang w:val="en-US" w:eastAsia="zh-CN"/>
        </w:rPr>
      </w:pPr>
      <w:r>
        <w:rPr>
          <w:rFonts w:hint="eastAsia" w:ascii="黑体" w:hAnsi="黑体" w:eastAsia="黑体" w:cs="黑体"/>
          <w:sz w:val="28"/>
          <w:szCs w:val="28"/>
          <w:lang w:val="en-US" w:eastAsia="zh-CN"/>
        </w:rPr>
        <w:t>四、研究生教育改革措施</w:t>
      </w:r>
    </w:p>
    <w:p>
      <w:pPr>
        <w:widowControl w:val="0"/>
        <w:numPr>
          <w:numId w:val="0"/>
        </w:numPr>
        <w:spacing w:line="360" w:lineRule="auto"/>
        <w:ind w:right="103" w:rightChars="43"/>
        <w:jc w:val="both"/>
        <w:rPr>
          <w:rFonts w:hint="default" w:ascii="仿宋" w:hAnsi="仿宋" w:eastAsia="仿宋" w:cs="仿宋"/>
          <w:b w:val="0"/>
          <w:bCs w:val="0"/>
          <w:sz w:val="28"/>
          <w:szCs w:val="28"/>
          <w:lang w:val="en-US" w:eastAsia="zh-CN"/>
        </w:rPr>
      </w:pPr>
      <w:bookmarkStart w:id="0" w:name="_GoBack"/>
      <w:bookmarkEnd w:id="0"/>
      <w:r>
        <w:rPr>
          <w:rStyle w:val="8"/>
          <w:rFonts w:hint="eastAsia" w:ascii="仿宋" w:hAnsi="仿宋" w:eastAsia="仿宋"/>
          <w:b w:val="0"/>
          <w:bCs w:val="0"/>
          <w:color w:val="000000"/>
          <w:kern w:val="0"/>
          <w:sz w:val="28"/>
          <w:szCs w:val="28"/>
          <w:lang w:val="en-US" w:eastAsia="zh-CN"/>
        </w:rPr>
        <w:t xml:space="preserve">   </w:t>
      </w:r>
      <w:r>
        <w:rPr>
          <w:rFonts w:hint="eastAsia" w:ascii="仿宋" w:hAnsi="仿宋" w:eastAsia="仿宋" w:cs="仿宋"/>
          <w:b w:val="0"/>
          <w:bCs w:val="0"/>
          <w:sz w:val="28"/>
          <w:szCs w:val="28"/>
          <w:lang w:val="en-US" w:eastAsia="zh-CN"/>
        </w:rPr>
        <w:t xml:space="preserve"> 注重理论研修与实践提升齐头并进，借助迎接教育部教育硕士实践教学巡查组巡查契机，完善实践课程、提升实践教学质量，重视实践教学的效果，注重实践的过程性，强化实践对专业硕士的质量的重要价值。课程方面突出实训、见习、实习、研习的完整性，强化教师指导的专业性和实践性，学生参与的过程性资料的保存，用“一生一优课”的汇报课来展示专业实践的效果。</w:t>
      </w:r>
    </w:p>
    <w:p>
      <w:pPr>
        <w:widowControl w:val="0"/>
        <w:numPr>
          <w:numId w:val="0"/>
        </w:numPr>
        <w:spacing w:line="360" w:lineRule="auto"/>
        <w:ind w:right="480" w:rightChars="200"/>
        <w:jc w:val="both"/>
        <w:rPr>
          <w:rStyle w:val="8"/>
          <w:rFonts w:hint="default" w:ascii="仿宋" w:hAnsi="仿宋" w:eastAsia="仿宋"/>
          <w:b w:val="0"/>
          <w:bCs w:val="0"/>
          <w:color w:val="000000"/>
          <w:kern w:val="0"/>
          <w:sz w:val="28"/>
          <w:szCs w:val="28"/>
          <w:lang w:val="en-US" w:eastAsia="zh-CN"/>
        </w:rPr>
      </w:pPr>
      <w:r>
        <w:rPr>
          <w:rStyle w:val="8"/>
          <w:rFonts w:hint="eastAsia" w:ascii="仿宋" w:hAnsi="仿宋" w:eastAsia="仿宋"/>
          <w:b w:val="0"/>
          <w:bCs w:val="0"/>
          <w:color w:val="000000"/>
          <w:kern w:val="0"/>
          <w:sz w:val="28"/>
          <w:szCs w:val="28"/>
          <w:lang w:val="en-US" w:eastAsia="zh-CN"/>
        </w:rPr>
        <w:t xml:space="preserve">   </w:t>
      </w:r>
      <w:r>
        <w:rPr>
          <w:rFonts w:hint="eastAsia" w:ascii="黑体" w:hAnsi="黑体" w:eastAsia="黑体" w:cs="黑体"/>
          <w:sz w:val="28"/>
          <w:szCs w:val="28"/>
          <w:lang w:val="en-US" w:eastAsia="zh-CN"/>
        </w:rPr>
        <w:t>五、学位点建设存在的问题与分析及改进措施</w:t>
      </w:r>
    </w:p>
    <w:p>
      <w:pPr>
        <w:numPr>
          <w:ilvl w:val="0"/>
          <w:numId w:val="0"/>
        </w:numPr>
        <w:ind w:firstLine="562" w:firstLineChars="200"/>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（一）学位点</w:t>
      </w:r>
      <w:r>
        <w:rPr>
          <w:rFonts w:hint="eastAsia" w:ascii="仿宋" w:hAnsi="仿宋" w:eastAsia="仿宋" w:cs="仿宋"/>
          <w:b/>
          <w:bCs/>
          <w:sz w:val="28"/>
          <w:szCs w:val="28"/>
          <w:lang w:val="en-US" w:eastAsia="zh-CN"/>
        </w:rPr>
        <w:t>双师型教师需要补充</w:t>
      </w:r>
    </w:p>
    <w:p>
      <w:pPr>
        <w:numPr>
          <w:ilvl w:val="0"/>
          <w:numId w:val="0"/>
        </w:numPr>
        <w:ind w:firstLine="560" w:firstLineChars="200"/>
        <w:jc w:val="both"/>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结合学位点发展需求，专业教师队伍和行业导师队伍需要补充和更新，以提升专业硕士研究生的培养质量。</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（二）改进措施</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人才引进方面，充分利用省市人才引进政策，引进高端学科人才，与相关领域开展深入合作，开展协同育人，建立高质量实践基地，更新行业导师队伍，进一步提升相关方向的科学研究水平和实践发展的可持续性。</w:t>
      </w:r>
    </w:p>
    <w:p>
      <w:pPr>
        <w:jc w:val="left"/>
        <w:rPr>
          <w:rFonts w:hint="default" w:ascii="黑体" w:hAnsi="黑体" w:eastAsia="黑体" w:cs="黑体"/>
          <w:sz w:val="28"/>
          <w:szCs w:val="28"/>
          <w:lang w:val="en-US" w:eastAsia="zh-CN"/>
        </w:rPr>
      </w:pPr>
    </w:p>
    <w:p>
      <w:pPr>
        <w:jc w:val="left"/>
        <w:rPr>
          <w:rFonts w:hint="default" w:ascii="黑体" w:hAnsi="黑体" w:eastAsia="黑体" w:cs="黑体"/>
          <w:sz w:val="28"/>
          <w:szCs w:val="28"/>
          <w:lang w:val="en-US" w:eastAsia="zh-CN"/>
        </w:rPr>
      </w:pPr>
    </w:p>
    <w:p>
      <w:pPr>
        <w:jc w:val="left"/>
        <w:rPr>
          <w:rFonts w:hint="default" w:ascii="黑体" w:hAnsi="黑体" w:eastAsia="黑体" w:cs="黑体"/>
          <w:sz w:val="28"/>
          <w:szCs w:val="28"/>
          <w:lang w:val="en-US" w:eastAsia="zh-CN"/>
        </w:rPr>
      </w:pPr>
    </w:p>
    <w:p>
      <w:pPr>
        <w:jc w:val="left"/>
        <w:rPr>
          <w:rFonts w:hint="default" w:ascii="黑体" w:hAnsi="黑体" w:eastAsia="黑体" w:cs="黑体"/>
          <w:sz w:val="28"/>
          <w:szCs w:val="28"/>
          <w:lang w:val="en-US" w:eastAsia="zh-CN"/>
        </w:rPr>
      </w:pPr>
    </w:p>
    <w:p>
      <w:pPr>
        <w:jc w:val="left"/>
        <w:rPr>
          <w:rFonts w:hint="default" w:ascii="黑体" w:hAnsi="黑体" w:eastAsia="黑体" w:cs="黑体"/>
          <w:sz w:val="28"/>
          <w:szCs w:val="28"/>
          <w:lang w:val="en-US" w:eastAsia="zh-CN"/>
        </w:rPr>
      </w:pPr>
    </w:p>
    <w:p>
      <w:pPr>
        <w:jc w:val="left"/>
        <w:rPr>
          <w:rFonts w:hint="default" w:ascii="黑体" w:hAnsi="黑体" w:eastAsia="黑体" w:cs="黑体"/>
          <w:sz w:val="28"/>
          <w:szCs w:val="28"/>
          <w:lang w:val="en-US" w:eastAsia="zh-CN"/>
        </w:rPr>
      </w:pPr>
    </w:p>
    <w:p>
      <w:pPr>
        <w:jc w:val="left"/>
        <w:rPr>
          <w:rFonts w:hint="default" w:ascii="黑体" w:hAnsi="黑体" w:eastAsia="黑体" w:cs="黑体"/>
          <w:sz w:val="28"/>
          <w:szCs w:val="28"/>
          <w:lang w:val="en-US" w:eastAsia="zh-CN"/>
        </w:rPr>
      </w:pPr>
    </w:p>
    <w:sectPr>
      <w:footerReference r:id="rId3"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463F3C"/>
    <w:rsid w:val="04BA49C1"/>
    <w:rsid w:val="0F69733A"/>
    <w:rsid w:val="159812F3"/>
    <w:rsid w:val="18F72E3C"/>
    <w:rsid w:val="20B64B07"/>
    <w:rsid w:val="2DCA28ED"/>
    <w:rsid w:val="4F314C0E"/>
    <w:rsid w:val="58706EDF"/>
    <w:rsid w:val="58A50C9B"/>
    <w:rsid w:val="6A2D7AA7"/>
    <w:rsid w:val="6E463F3C"/>
    <w:rsid w:val="79E24119"/>
    <w:rsid w:val="7D25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link w:val="10"/>
    <w:qFormat/>
    <w:uiPriority w:val="0"/>
    <w:pPr>
      <w:widowControl/>
      <w:adjustRightInd w:val="0"/>
      <w:snapToGrid w:val="0"/>
      <w:spacing w:after="200" w:line="240" w:lineRule="auto"/>
      <w:jc w:val="left"/>
    </w:pPr>
    <w:rPr>
      <w:rFonts w:ascii="Times New Roman" w:hAnsi="Times New Roman" w:eastAsia="宋体"/>
      <w:kern w:val="0"/>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footnote reference"/>
    <w:basedOn w:val="7"/>
    <w:qFormat/>
    <w:uiPriority w:val="0"/>
    <w:rPr>
      <w:rFonts w:ascii="Times New Roman" w:hAnsi="Times New Roman" w:eastAsia="宋体"/>
      <w:vertAlign w:val="superscript"/>
    </w:rPr>
  </w:style>
  <w:style w:type="character" w:customStyle="1" w:styleId="10">
    <w:name w:val="脚注文本 Char"/>
    <w:basedOn w:val="7"/>
    <w:link w:val="4"/>
    <w:qFormat/>
    <w:uiPriority w:val="0"/>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1515</Words>
  <Characters>1539</Characters>
  <Lines>0</Lines>
  <Paragraphs>0</Paragraphs>
  <TotalTime>11</TotalTime>
  <ScaleCrop>false</ScaleCrop>
  <LinksUpToDate>false</LinksUpToDate>
  <CharactersWithSpaces>1571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2022-03-07T08:02:00Z</dcterms:created>
  <dc:creator>zhengyf</dc:creator>
  <cp:lastModifiedBy>zhengyf</cp:lastModifiedBy>
  <dcterms:modified xsi:type="dcterms:W3CDTF">2022-04-25T02:30:40Z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EB49ACDB71E74C129929D36FADF419FB</vt:lpwstr>
  </property>
</Properties>
</file>